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2C7B" w14:textId="104B7BD8" w:rsidR="007D1B1A" w:rsidRPr="000F12A9" w:rsidRDefault="007D1B1A" w:rsidP="00B45C6F">
      <w:pPr>
        <w:spacing w:before="120" w:after="0" w:line="240" w:lineRule="auto"/>
        <w:jc w:val="center"/>
        <w:rPr>
          <w:b/>
          <w:iCs/>
          <w:szCs w:val="28"/>
          <w:lang w:val="vi-VN"/>
        </w:rPr>
      </w:pPr>
      <w:r w:rsidRPr="000F12A9">
        <w:rPr>
          <w:b/>
          <w:iCs/>
          <w:szCs w:val="28"/>
          <w:lang w:val="en-SG"/>
        </w:rPr>
        <w:t>PHỤ LỤC</w:t>
      </w:r>
      <w:r w:rsidRPr="000F12A9">
        <w:rPr>
          <w:b/>
          <w:iCs/>
          <w:szCs w:val="28"/>
          <w:lang w:val="vi-VN"/>
        </w:rPr>
        <w:t xml:space="preserve"> YÊU CẦU BÁO GIÁ</w:t>
      </w:r>
    </w:p>
    <w:p w14:paraId="369664D1" w14:textId="04E700BE" w:rsidR="007D1B1A" w:rsidRDefault="007D1B1A" w:rsidP="00B45C6F">
      <w:pPr>
        <w:spacing w:before="120" w:after="0" w:line="240" w:lineRule="auto"/>
        <w:jc w:val="center"/>
        <w:rPr>
          <w:bCs/>
          <w:iCs/>
          <w:szCs w:val="28"/>
          <w:lang w:val="en-SG"/>
        </w:rPr>
      </w:pPr>
      <w:r w:rsidRPr="000F12A9">
        <w:rPr>
          <w:bCs/>
          <w:iCs/>
          <w:szCs w:val="28"/>
          <w:lang w:val="en-SG"/>
        </w:rPr>
        <w:t>(Đính kèm Công văn số</w:t>
      </w:r>
      <w:r w:rsidR="00207CEB" w:rsidRPr="000F12A9">
        <w:rPr>
          <w:bCs/>
          <w:iCs/>
          <w:szCs w:val="28"/>
          <w:lang w:val="en-SG"/>
        </w:rPr>
        <w:t>:</w:t>
      </w:r>
      <w:r w:rsidR="00207CEB" w:rsidRPr="000F12A9">
        <w:rPr>
          <w:bCs/>
          <w:iCs/>
          <w:szCs w:val="28"/>
          <w:lang w:val="vi-VN"/>
        </w:rPr>
        <w:t xml:space="preserve"> </w:t>
      </w:r>
      <w:r w:rsidR="00FB10A3" w:rsidRPr="000F12A9">
        <w:rPr>
          <w:bCs/>
          <w:iCs/>
          <w:szCs w:val="28"/>
        </w:rPr>
        <w:t xml:space="preserve">      </w:t>
      </w:r>
      <w:r w:rsidR="004B4DA7" w:rsidRPr="000F12A9">
        <w:rPr>
          <w:bCs/>
          <w:iCs/>
          <w:szCs w:val="28"/>
          <w:lang w:val="en-SG"/>
        </w:rPr>
        <w:t>/KSBT-DVTYT ngày</w:t>
      </w:r>
      <w:r w:rsidRPr="000F12A9">
        <w:rPr>
          <w:bCs/>
          <w:iCs/>
          <w:szCs w:val="28"/>
          <w:lang w:val="en-SG"/>
        </w:rPr>
        <w:t xml:space="preserve"> </w:t>
      </w:r>
      <w:r w:rsidR="005079AF" w:rsidRPr="000F12A9">
        <w:rPr>
          <w:bCs/>
          <w:iCs/>
          <w:szCs w:val="28"/>
          <w:lang w:val="en-SG"/>
        </w:rPr>
        <w:t xml:space="preserve">     </w:t>
      </w:r>
      <w:r w:rsidR="00FB10A3" w:rsidRPr="000F12A9">
        <w:rPr>
          <w:bCs/>
          <w:iCs/>
          <w:szCs w:val="28"/>
        </w:rPr>
        <w:t>/</w:t>
      </w:r>
      <w:r w:rsidR="00F625F3">
        <w:rPr>
          <w:bCs/>
          <w:iCs/>
          <w:szCs w:val="28"/>
        </w:rPr>
        <w:t>1</w:t>
      </w:r>
      <w:r w:rsidR="008B0B5D">
        <w:rPr>
          <w:bCs/>
          <w:iCs/>
          <w:szCs w:val="28"/>
        </w:rPr>
        <w:t>1</w:t>
      </w:r>
      <w:r w:rsidR="00F94004" w:rsidRPr="000F12A9">
        <w:rPr>
          <w:bCs/>
          <w:iCs/>
          <w:szCs w:val="28"/>
          <w:lang w:val="en-SG"/>
        </w:rPr>
        <w:t>/2023</w:t>
      </w:r>
      <w:r w:rsidRPr="000F12A9">
        <w:rPr>
          <w:bCs/>
          <w:iCs/>
          <w:szCs w:val="28"/>
          <w:lang w:val="en-SG"/>
        </w:rPr>
        <w:t xml:space="preserve"> </w:t>
      </w:r>
      <w:r w:rsidR="00C06E2B" w:rsidRPr="000F12A9">
        <w:rPr>
          <w:bCs/>
          <w:iCs/>
          <w:szCs w:val="28"/>
          <w:lang w:val="en-SG"/>
        </w:rPr>
        <w:t xml:space="preserve">của Trung tâm Kiểm soát bệnh tật tỉnh Bắc Giang </w:t>
      </w:r>
      <w:r w:rsidR="005D464A" w:rsidRPr="000F12A9">
        <w:rPr>
          <w:szCs w:val="28"/>
          <w:lang w:val="nl-NL"/>
        </w:rPr>
        <w:t xml:space="preserve">V/v đề nghị báo </w:t>
      </w:r>
      <w:r w:rsidR="00F625F3">
        <w:rPr>
          <w:szCs w:val="28"/>
          <w:lang w:val="nl-NL"/>
        </w:rPr>
        <w:t>sửa chữa</w:t>
      </w:r>
      <w:r w:rsidR="005D464A" w:rsidRPr="000F12A9">
        <w:rPr>
          <w:szCs w:val="28"/>
          <w:lang w:val="nl-NL"/>
        </w:rPr>
        <w:t xml:space="preserve"> thiết bị</w:t>
      </w:r>
      <w:r w:rsidRPr="000F12A9">
        <w:rPr>
          <w:bCs/>
          <w:iCs/>
          <w:szCs w:val="28"/>
          <w:lang w:val="en-SG"/>
        </w:rPr>
        <w:t>)</w:t>
      </w:r>
    </w:p>
    <w:p w14:paraId="31F6D437" w14:textId="1EA41CF4" w:rsidR="00F625F3" w:rsidRDefault="007C2395" w:rsidP="00F625F3">
      <w:pPr>
        <w:spacing w:before="120" w:after="0" w:line="240" w:lineRule="auto"/>
        <w:rPr>
          <w:b/>
          <w:iCs/>
          <w:szCs w:val="28"/>
          <w:lang w:val="en-SG"/>
        </w:rPr>
      </w:pPr>
      <w:r>
        <w:rPr>
          <w:b/>
          <w:iCs/>
          <w:szCs w:val="28"/>
          <w:lang w:val="en-SG"/>
        </w:rPr>
        <w:t>T</w:t>
      </w:r>
      <w:r w:rsidR="00F625F3">
        <w:rPr>
          <w:b/>
          <w:iCs/>
          <w:szCs w:val="28"/>
          <w:lang w:val="en-SG"/>
        </w:rPr>
        <w:t xml:space="preserve">hiết bị hỏng, cần </w:t>
      </w:r>
      <w:r>
        <w:rPr>
          <w:b/>
          <w:iCs/>
          <w:szCs w:val="28"/>
          <w:lang w:val="en-SG"/>
        </w:rPr>
        <w:t xml:space="preserve">kiểm tra, </w:t>
      </w:r>
      <w:r w:rsidR="00F625F3">
        <w:rPr>
          <w:b/>
          <w:iCs/>
          <w:szCs w:val="28"/>
          <w:lang w:val="en-SG"/>
        </w:rPr>
        <w:t>sửa chữa</w:t>
      </w:r>
    </w:p>
    <w:p w14:paraId="50448FA8" w14:textId="77777777" w:rsidR="00F625F3" w:rsidRDefault="00F625F3" w:rsidP="00F625F3">
      <w:pPr>
        <w:spacing w:before="120" w:after="0" w:line="240" w:lineRule="auto"/>
        <w:rPr>
          <w:b/>
          <w:iCs/>
          <w:szCs w:val="28"/>
          <w:lang w:val="en-SG"/>
        </w:rPr>
      </w:pPr>
    </w:p>
    <w:tbl>
      <w:tblPr>
        <w:tblW w:w="1440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253"/>
        <w:gridCol w:w="992"/>
        <w:gridCol w:w="1417"/>
        <w:gridCol w:w="3119"/>
        <w:gridCol w:w="3969"/>
      </w:tblGrid>
      <w:tr w:rsidR="00F625F3" w:rsidRPr="005E4478" w14:paraId="25E96DE1" w14:textId="77777777" w:rsidTr="008B0B5D">
        <w:trPr>
          <w:trHeight w:val="548"/>
        </w:trPr>
        <w:tc>
          <w:tcPr>
            <w:tcW w:w="652" w:type="dxa"/>
            <w:vAlign w:val="center"/>
          </w:tcPr>
          <w:p w14:paraId="7335DF19" w14:textId="77777777" w:rsidR="00F625F3" w:rsidRPr="005E4478" w:rsidRDefault="00F625F3" w:rsidP="007C2395">
            <w:pPr>
              <w:spacing w:after="0" w:line="240" w:lineRule="auto"/>
              <w:jc w:val="center"/>
              <w:rPr>
                <w:rFonts w:eastAsia=".VnTime"/>
                <w:b/>
                <w:sz w:val="26"/>
                <w:szCs w:val="26"/>
              </w:rPr>
            </w:pPr>
            <w:r w:rsidRPr="005E4478">
              <w:rPr>
                <w:rFonts w:eastAsia=".VnTime"/>
                <w:b/>
                <w:sz w:val="26"/>
                <w:szCs w:val="26"/>
              </w:rPr>
              <w:t>TT</w:t>
            </w:r>
          </w:p>
        </w:tc>
        <w:tc>
          <w:tcPr>
            <w:tcW w:w="4253" w:type="dxa"/>
            <w:vAlign w:val="center"/>
          </w:tcPr>
          <w:p w14:paraId="74BCBADD" w14:textId="77777777" w:rsidR="00F625F3" w:rsidRPr="005E4478" w:rsidRDefault="00F625F3" w:rsidP="007C2395">
            <w:pPr>
              <w:spacing w:after="0" w:line="240" w:lineRule="auto"/>
              <w:jc w:val="center"/>
              <w:rPr>
                <w:rFonts w:eastAsia=".VnTime"/>
                <w:b/>
                <w:sz w:val="26"/>
                <w:szCs w:val="26"/>
              </w:rPr>
            </w:pPr>
            <w:r>
              <w:rPr>
                <w:rFonts w:eastAsia=".VnTime"/>
                <w:b/>
                <w:sz w:val="26"/>
                <w:szCs w:val="26"/>
              </w:rPr>
              <w:t>Danh mục thiết bị</w:t>
            </w:r>
          </w:p>
        </w:tc>
        <w:tc>
          <w:tcPr>
            <w:tcW w:w="992" w:type="dxa"/>
            <w:vAlign w:val="center"/>
          </w:tcPr>
          <w:p w14:paraId="0759B48A"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Đơn vị</w:t>
            </w:r>
          </w:p>
        </w:tc>
        <w:tc>
          <w:tcPr>
            <w:tcW w:w="1417" w:type="dxa"/>
            <w:vAlign w:val="center"/>
          </w:tcPr>
          <w:p w14:paraId="176FB62D"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Số lượng</w:t>
            </w:r>
          </w:p>
        </w:tc>
        <w:tc>
          <w:tcPr>
            <w:tcW w:w="3119" w:type="dxa"/>
            <w:vAlign w:val="center"/>
          </w:tcPr>
          <w:p w14:paraId="33AC9DFC"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Vị trí</w:t>
            </w:r>
          </w:p>
        </w:tc>
        <w:tc>
          <w:tcPr>
            <w:tcW w:w="3969" w:type="dxa"/>
            <w:vAlign w:val="center"/>
          </w:tcPr>
          <w:p w14:paraId="0035AAE3"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Hiện trạng</w:t>
            </w:r>
          </w:p>
        </w:tc>
      </w:tr>
      <w:tr w:rsidR="00F625F3" w:rsidRPr="005E4478" w14:paraId="2C0EFA98" w14:textId="77777777" w:rsidTr="008B0B5D">
        <w:trPr>
          <w:trHeight w:val="397"/>
        </w:trPr>
        <w:tc>
          <w:tcPr>
            <w:tcW w:w="652" w:type="dxa"/>
            <w:vAlign w:val="center"/>
          </w:tcPr>
          <w:p w14:paraId="0729190D" w14:textId="77777777" w:rsidR="00F625F3" w:rsidRPr="005E4478" w:rsidRDefault="00F625F3" w:rsidP="007C2395">
            <w:pPr>
              <w:spacing w:after="0" w:line="240" w:lineRule="auto"/>
              <w:jc w:val="center"/>
              <w:rPr>
                <w:rFonts w:eastAsia=".VnTime"/>
                <w:sz w:val="26"/>
                <w:szCs w:val="26"/>
              </w:rPr>
            </w:pPr>
            <w:r w:rsidRPr="005E4478">
              <w:rPr>
                <w:rFonts w:eastAsia=".VnTime"/>
                <w:sz w:val="26"/>
                <w:szCs w:val="26"/>
              </w:rPr>
              <w:t>1</w:t>
            </w:r>
          </w:p>
        </w:tc>
        <w:tc>
          <w:tcPr>
            <w:tcW w:w="4253" w:type="dxa"/>
            <w:vAlign w:val="center"/>
          </w:tcPr>
          <w:p w14:paraId="722559C8" w14:textId="77777777" w:rsidR="007C2395" w:rsidRDefault="00F625F3" w:rsidP="007C2395">
            <w:pPr>
              <w:spacing w:after="0" w:line="240" w:lineRule="auto"/>
              <w:rPr>
                <w:rFonts w:eastAsia=".VnTime"/>
                <w:sz w:val="26"/>
                <w:szCs w:val="26"/>
              </w:rPr>
            </w:pPr>
            <w:r w:rsidRPr="005E4478">
              <w:rPr>
                <w:rFonts w:eastAsia=".VnTime"/>
                <w:sz w:val="26"/>
                <w:szCs w:val="26"/>
              </w:rPr>
              <w:t xml:space="preserve">Máy Realtime PCR </w:t>
            </w:r>
          </w:p>
          <w:p w14:paraId="608D2F46" w14:textId="06BD9716" w:rsidR="007C2395" w:rsidRDefault="00F625F3" w:rsidP="007C2395">
            <w:pPr>
              <w:spacing w:after="0" w:line="240" w:lineRule="auto"/>
              <w:rPr>
                <w:rFonts w:eastAsia=".VnTime"/>
                <w:sz w:val="26"/>
                <w:szCs w:val="26"/>
              </w:rPr>
            </w:pPr>
            <w:r w:rsidRPr="005E4478">
              <w:rPr>
                <w:rFonts w:eastAsia=".VnTime"/>
                <w:sz w:val="26"/>
                <w:szCs w:val="26"/>
              </w:rPr>
              <w:t>Model: ARIA DX Realtime-PCR</w:t>
            </w:r>
          </w:p>
          <w:p w14:paraId="1857B41F" w14:textId="77777777" w:rsidR="007C2395" w:rsidRDefault="00F625F3" w:rsidP="007C2395">
            <w:pPr>
              <w:spacing w:after="0" w:line="240" w:lineRule="auto"/>
              <w:rPr>
                <w:rFonts w:eastAsia=".VnTime"/>
                <w:sz w:val="26"/>
                <w:szCs w:val="26"/>
              </w:rPr>
            </w:pPr>
            <w:r w:rsidRPr="005E4478">
              <w:rPr>
                <w:rFonts w:eastAsia=".VnTime"/>
                <w:sz w:val="26"/>
                <w:szCs w:val="26"/>
              </w:rPr>
              <w:t>Số seri: MY20495313</w:t>
            </w:r>
          </w:p>
          <w:p w14:paraId="13590286" w14:textId="77777777" w:rsidR="007C2395" w:rsidRDefault="00F625F3" w:rsidP="007C2395">
            <w:pPr>
              <w:spacing w:after="0" w:line="240" w:lineRule="auto"/>
              <w:rPr>
                <w:rFonts w:eastAsia=".VnTime"/>
                <w:sz w:val="26"/>
                <w:szCs w:val="26"/>
              </w:rPr>
            </w:pPr>
            <w:r w:rsidRPr="005E4478">
              <w:rPr>
                <w:rFonts w:eastAsia=".VnTime"/>
                <w:sz w:val="26"/>
                <w:szCs w:val="26"/>
              </w:rPr>
              <w:t>Hãng: Agilent</w:t>
            </w:r>
          </w:p>
          <w:p w14:paraId="4EB2AE16" w14:textId="105B22F6" w:rsidR="00F625F3" w:rsidRPr="005E4478" w:rsidRDefault="00F625F3" w:rsidP="007C2395">
            <w:pPr>
              <w:spacing w:after="0" w:line="240" w:lineRule="auto"/>
              <w:rPr>
                <w:rFonts w:eastAsia=".VnTime"/>
                <w:sz w:val="26"/>
                <w:szCs w:val="26"/>
              </w:rPr>
            </w:pPr>
            <w:r w:rsidRPr="005E4478">
              <w:rPr>
                <w:rFonts w:eastAsia=".VnTime"/>
                <w:sz w:val="26"/>
                <w:szCs w:val="26"/>
              </w:rPr>
              <w:t>Nước sản xuất: Malaysia</w:t>
            </w:r>
          </w:p>
        </w:tc>
        <w:tc>
          <w:tcPr>
            <w:tcW w:w="992" w:type="dxa"/>
            <w:vAlign w:val="center"/>
          </w:tcPr>
          <w:p w14:paraId="37CD5BD5"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Chiếc</w:t>
            </w:r>
          </w:p>
        </w:tc>
        <w:tc>
          <w:tcPr>
            <w:tcW w:w="1417" w:type="dxa"/>
            <w:vAlign w:val="center"/>
          </w:tcPr>
          <w:p w14:paraId="5C48CC0D"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01</w:t>
            </w:r>
          </w:p>
        </w:tc>
        <w:tc>
          <w:tcPr>
            <w:tcW w:w="3119" w:type="dxa"/>
            <w:shd w:val="clear" w:color="auto" w:fill="auto"/>
            <w:vAlign w:val="center"/>
          </w:tcPr>
          <w:p w14:paraId="6FC8E81C"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Phòng PCR – bộ phận Vi sinh</w:t>
            </w:r>
          </w:p>
        </w:tc>
        <w:tc>
          <w:tcPr>
            <w:tcW w:w="3969" w:type="dxa"/>
            <w:vAlign w:val="center"/>
          </w:tcPr>
          <w:p w14:paraId="097D6EC4"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Thiết bị báo lỗi, không khởi động được</w:t>
            </w:r>
          </w:p>
        </w:tc>
      </w:tr>
      <w:tr w:rsidR="007C2395" w:rsidRPr="005E4478" w14:paraId="472F775D" w14:textId="77777777" w:rsidTr="008B0B5D">
        <w:trPr>
          <w:trHeight w:val="397"/>
        </w:trPr>
        <w:tc>
          <w:tcPr>
            <w:tcW w:w="652" w:type="dxa"/>
            <w:vAlign w:val="center"/>
          </w:tcPr>
          <w:p w14:paraId="6DA65995" w14:textId="2222730A" w:rsidR="007C2395" w:rsidRPr="005E4478" w:rsidRDefault="008B0B5D" w:rsidP="007C2395">
            <w:pPr>
              <w:spacing w:after="0" w:line="240" w:lineRule="auto"/>
              <w:jc w:val="center"/>
              <w:rPr>
                <w:rFonts w:eastAsia=".VnTime"/>
                <w:sz w:val="26"/>
                <w:szCs w:val="26"/>
              </w:rPr>
            </w:pPr>
            <w:r>
              <w:rPr>
                <w:rFonts w:eastAsia=".VnTime"/>
                <w:sz w:val="26"/>
                <w:szCs w:val="26"/>
              </w:rPr>
              <w:t>2</w:t>
            </w:r>
          </w:p>
        </w:tc>
        <w:tc>
          <w:tcPr>
            <w:tcW w:w="4253" w:type="dxa"/>
            <w:vAlign w:val="center"/>
          </w:tcPr>
          <w:p w14:paraId="7A9689B4" w14:textId="77777777" w:rsidR="007C2395" w:rsidRDefault="007C2395" w:rsidP="007C2395">
            <w:pPr>
              <w:spacing w:after="0" w:line="240" w:lineRule="auto"/>
              <w:rPr>
                <w:rFonts w:eastAsia=".VnTime"/>
                <w:sz w:val="26"/>
                <w:szCs w:val="26"/>
              </w:rPr>
            </w:pPr>
            <w:r>
              <w:rPr>
                <w:rFonts w:eastAsia=".VnTime"/>
                <w:sz w:val="26"/>
                <w:szCs w:val="26"/>
              </w:rPr>
              <w:t>Máy cất nước 2 lần</w:t>
            </w:r>
          </w:p>
          <w:p w14:paraId="7C2DA99C" w14:textId="77777777" w:rsidR="007C2395" w:rsidRDefault="007C2395" w:rsidP="007C2395">
            <w:pPr>
              <w:spacing w:after="0" w:line="240" w:lineRule="auto"/>
              <w:rPr>
                <w:sz w:val="26"/>
                <w:szCs w:val="26"/>
                <w:lang w:val="nl-NL"/>
              </w:rPr>
            </w:pPr>
            <w:r>
              <w:rPr>
                <w:sz w:val="26"/>
                <w:szCs w:val="26"/>
                <w:lang w:val="nl-NL"/>
              </w:rPr>
              <w:t>Model: A 4000D</w:t>
            </w:r>
          </w:p>
          <w:p w14:paraId="21C79A0C" w14:textId="2779DD8B" w:rsidR="007C2395" w:rsidRPr="007C2395" w:rsidRDefault="007C2395" w:rsidP="007C2395">
            <w:pPr>
              <w:spacing w:after="0" w:line="240" w:lineRule="auto"/>
              <w:rPr>
                <w:sz w:val="26"/>
                <w:szCs w:val="26"/>
                <w:lang w:val="nl-NL"/>
              </w:rPr>
            </w:pPr>
            <w:r>
              <w:rPr>
                <w:sz w:val="26"/>
                <w:szCs w:val="26"/>
                <w:lang w:val="nl-NL"/>
              </w:rPr>
              <w:t>Nước sản xuất: Anh</w:t>
            </w:r>
          </w:p>
        </w:tc>
        <w:tc>
          <w:tcPr>
            <w:tcW w:w="992" w:type="dxa"/>
            <w:vAlign w:val="center"/>
          </w:tcPr>
          <w:p w14:paraId="016D8E03" w14:textId="6F21516B"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Chiếc</w:t>
            </w:r>
          </w:p>
        </w:tc>
        <w:tc>
          <w:tcPr>
            <w:tcW w:w="1417" w:type="dxa"/>
            <w:vAlign w:val="center"/>
          </w:tcPr>
          <w:p w14:paraId="62EDBFC9" w14:textId="6C3D7552"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01</w:t>
            </w:r>
          </w:p>
        </w:tc>
        <w:tc>
          <w:tcPr>
            <w:tcW w:w="3119" w:type="dxa"/>
            <w:shd w:val="clear" w:color="auto" w:fill="auto"/>
            <w:vAlign w:val="center"/>
          </w:tcPr>
          <w:p w14:paraId="55E372C9" w14:textId="3F6AD9E8" w:rsidR="007C2395" w:rsidRPr="005E4478" w:rsidRDefault="00005F3F" w:rsidP="007C2395">
            <w:pPr>
              <w:spacing w:after="0" w:line="240" w:lineRule="auto"/>
              <w:ind w:left="-108" w:right="-108"/>
              <w:jc w:val="center"/>
              <w:rPr>
                <w:rFonts w:eastAsia=".VnTime"/>
                <w:sz w:val="26"/>
                <w:szCs w:val="26"/>
              </w:rPr>
            </w:pPr>
            <w:r w:rsidRPr="00150706">
              <w:rPr>
                <w:rFonts w:eastAsia=".VnTime"/>
                <w:sz w:val="26"/>
                <w:szCs w:val="26"/>
              </w:rPr>
              <w:t xml:space="preserve">Phòng </w:t>
            </w:r>
            <w:r>
              <w:rPr>
                <w:rFonts w:eastAsia=".VnTime"/>
                <w:sz w:val="26"/>
                <w:szCs w:val="26"/>
              </w:rPr>
              <w:t xml:space="preserve">hấp sấy, </w:t>
            </w:r>
            <w:r w:rsidRPr="005E4478">
              <w:rPr>
                <w:rFonts w:eastAsia=".VnTime"/>
                <w:sz w:val="26"/>
                <w:szCs w:val="26"/>
              </w:rPr>
              <w:t>bộ phận Vi sinh</w:t>
            </w:r>
            <w:r>
              <w:rPr>
                <w:rFonts w:eastAsia=".VnTime"/>
                <w:sz w:val="26"/>
                <w:szCs w:val="26"/>
              </w:rPr>
              <w:t xml:space="preserve"> </w:t>
            </w:r>
            <w:r>
              <w:rPr>
                <w:rFonts w:eastAsia=".VnTime"/>
                <w:sz w:val="26"/>
                <w:szCs w:val="26"/>
              </w:rPr>
              <w:t>khoa Xét nghiệm</w:t>
            </w:r>
          </w:p>
        </w:tc>
        <w:tc>
          <w:tcPr>
            <w:tcW w:w="3969" w:type="dxa"/>
            <w:vAlign w:val="center"/>
          </w:tcPr>
          <w:p w14:paraId="11B77C7D" w14:textId="12ED94E9" w:rsidR="007C2395" w:rsidRPr="005E4478" w:rsidRDefault="007C2395" w:rsidP="007C2395">
            <w:pPr>
              <w:spacing w:after="0" w:line="240" w:lineRule="auto"/>
              <w:ind w:left="-108" w:right="-108"/>
              <w:jc w:val="center"/>
              <w:rPr>
                <w:rFonts w:eastAsia=".VnTime"/>
                <w:sz w:val="26"/>
                <w:szCs w:val="26"/>
              </w:rPr>
            </w:pPr>
            <w:r w:rsidRPr="005E4478">
              <w:rPr>
                <w:rFonts w:eastAsia=".VnTime"/>
                <w:sz w:val="26"/>
                <w:szCs w:val="26"/>
              </w:rPr>
              <w:t>Thiết bị báo lỗi</w:t>
            </w:r>
          </w:p>
        </w:tc>
      </w:tr>
      <w:tr w:rsidR="00005F3F" w:rsidRPr="005E4478" w14:paraId="3C5969B4" w14:textId="77777777" w:rsidTr="008B0B5D">
        <w:trPr>
          <w:trHeight w:val="397"/>
        </w:trPr>
        <w:tc>
          <w:tcPr>
            <w:tcW w:w="652" w:type="dxa"/>
            <w:vAlign w:val="center"/>
          </w:tcPr>
          <w:p w14:paraId="51B126D7" w14:textId="4D38E4AC" w:rsidR="00005F3F" w:rsidRDefault="00005F3F" w:rsidP="00005F3F">
            <w:pPr>
              <w:spacing w:after="0" w:line="240" w:lineRule="auto"/>
              <w:jc w:val="center"/>
              <w:rPr>
                <w:rFonts w:eastAsia=".VnTime"/>
                <w:sz w:val="26"/>
                <w:szCs w:val="26"/>
              </w:rPr>
            </w:pPr>
            <w:r>
              <w:rPr>
                <w:rFonts w:eastAsia=".VnTime"/>
                <w:sz w:val="26"/>
                <w:szCs w:val="26"/>
              </w:rPr>
              <w:t>3</w:t>
            </w:r>
          </w:p>
        </w:tc>
        <w:tc>
          <w:tcPr>
            <w:tcW w:w="4253" w:type="dxa"/>
            <w:vAlign w:val="center"/>
          </w:tcPr>
          <w:p w14:paraId="5A0B67D4" w14:textId="77777777" w:rsidR="00005F3F" w:rsidRPr="00005F3F" w:rsidRDefault="00005F3F" w:rsidP="00005F3F">
            <w:pPr>
              <w:spacing w:after="0" w:line="240" w:lineRule="auto"/>
              <w:rPr>
                <w:rFonts w:eastAsia=".VnTime"/>
                <w:sz w:val="26"/>
                <w:szCs w:val="26"/>
              </w:rPr>
            </w:pPr>
            <w:r w:rsidRPr="00005F3F">
              <w:rPr>
                <w:rFonts w:eastAsia=".VnTime"/>
                <w:sz w:val="26"/>
                <w:szCs w:val="26"/>
              </w:rPr>
              <w:t>Nồi hấp JIBIMED</w:t>
            </w:r>
          </w:p>
          <w:p w14:paraId="26CDCC04" w14:textId="77777777" w:rsidR="00005F3F" w:rsidRDefault="00005F3F" w:rsidP="00005F3F">
            <w:pPr>
              <w:spacing w:after="0" w:line="240" w:lineRule="auto"/>
              <w:rPr>
                <w:rFonts w:eastAsia=".VnTime"/>
                <w:sz w:val="26"/>
                <w:szCs w:val="26"/>
              </w:rPr>
            </w:pPr>
            <w:r w:rsidRPr="00005F3F">
              <w:rPr>
                <w:rFonts w:eastAsia=".VnTime"/>
                <w:sz w:val="26"/>
                <w:szCs w:val="26"/>
              </w:rPr>
              <w:t>Model</w:t>
            </w:r>
            <w:r>
              <w:rPr>
                <w:rFonts w:eastAsia=".VnTime"/>
                <w:sz w:val="26"/>
                <w:szCs w:val="26"/>
              </w:rPr>
              <w:t>:</w:t>
            </w:r>
            <w:r w:rsidRPr="00005F3F">
              <w:rPr>
                <w:rFonts w:eastAsia=".VnTime"/>
                <w:sz w:val="26"/>
                <w:szCs w:val="26"/>
              </w:rPr>
              <w:t xml:space="preserve"> LS 100HD</w:t>
            </w:r>
          </w:p>
          <w:p w14:paraId="142BE68B" w14:textId="137DAFEA" w:rsidR="00005F3F" w:rsidRDefault="00005F3F" w:rsidP="00005F3F">
            <w:pPr>
              <w:spacing w:after="0" w:line="240" w:lineRule="auto"/>
              <w:rPr>
                <w:rFonts w:eastAsia=".VnTime"/>
                <w:sz w:val="26"/>
                <w:szCs w:val="26"/>
              </w:rPr>
            </w:pPr>
            <w:r>
              <w:rPr>
                <w:rFonts w:eastAsia=".VnTime"/>
                <w:sz w:val="26"/>
                <w:szCs w:val="26"/>
              </w:rPr>
              <w:t>Xuất xứ: Trung Quốc</w:t>
            </w:r>
          </w:p>
        </w:tc>
        <w:tc>
          <w:tcPr>
            <w:tcW w:w="992" w:type="dxa"/>
            <w:vAlign w:val="center"/>
          </w:tcPr>
          <w:p w14:paraId="73380D34" w14:textId="1A4D1A9C" w:rsidR="00005F3F" w:rsidRPr="00150706" w:rsidRDefault="00005F3F" w:rsidP="00005F3F">
            <w:pPr>
              <w:spacing w:after="0" w:line="240" w:lineRule="auto"/>
              <w:ind w:left="-108" w:right="-108"/>
              <w:jc w:val="center"/>
              <w:rPr>
                <w:rFonts w:eastAsia=".VnTime"/>
                <w:color w:val="000000"/>
                <w:sz w:val="26"/>
                <w:szCs w:val="26"/>
              </w:rPr>
            </w:pPr>
            <w:r w:rsidRPr="00150706">
              <w:rPr>
                <w:rFonts w:eastAsia=".VnTime"/>
                <w:color w:val="000000"/>
                <w:sz w:val="26"/>
                <w:szCs w:val="26"/>
              </w:rPr>
              <w:t>Chiếc</w:t>
            </w:r>
          </w:p>
        </w:tc>
        <w:tc>
          <w:tcPr>
            <w:tcW w:w="1417" w:type="dxa"/>
            <w:vAlign w:val="center"/>
          </w:tcPr>
          <w:p w14:paraId="485F7243" w14:textId="1B028C12" w:rsidR="00005F3F" w:rsidRPr="00150706" w:rsidRDefault="00005F3F" w:rsidP="00005F3F">
            <w:pPr>
              <w:spacing w:after="0" w:line="240" w:lineRule="auto"/>
              <w:ind w:left="-108" w:right="-108"/>
              <w:jc w:val="center"/>
              <w:rPr>
                <w:rFonts w:eastAsia=".VnTime"/>
                <w:color w:val="000000"/>
                <w:sz w:val="26"/>
                <w:szCs w:val="26"/>
              </w:rPr>
            </w:pPr>
            <w:r w:rsidRPr="00150706">
              <w:rPr>
                <w:rFonts w:eastAsia=".VnTime"/>
                <w:color w:val="000000"/>
                <w:sz w:val="26"/>
                <w:szCs w:val="26"/>
              </w:rPr>
              <w:t>01</w:t>
            </w:r>
          </w:p>
        </w:tc>
        <w:tc>
          <w:tcPr>
            <w:tcW w:w="3119" w:type="dxa"/>
            <w:shd w:val="clear" w:color="auto" w:fill="auto"/>
            <w:vAlign w:val="center"/>
          </w:tcPr>
          <w:p w14:paraId="10AF3D40" w14:textId="77777777" w:rsidR="00005F3F" w:rsidRPr="00150706" w:rsidRDefault="00005F3F" w:rsidP="00005F3F">
            <w:pPr>
              <w:spacing w:after="0" w:line="240" w:lineRule="auto"/>
              <w:ind w:left="-108" w:right="-108"/>
              <w:jc w:val="center"/>
              <w:rPr>
                <w:rFonts w:eastAsia=".VnTime"/>
                <w:sz w:val="26"/>
                <w:szCs w:val="26"/>
              </w:rPr>
            </w:pPr>
          </w:p>
        </w:tc>
        <w:tc>
          <w:tcPr>
            <w:tcW w:w="3969" w:type="dxa"/>
            <w:vAlign w:val="center"/>
          </w:tcPr>
          <w:p w14:paraId="2DCD699D" w14:textId="52DF1844" w:rsidR="00005F3F" w:rsidRPr="005E4478" w:rsidRDefault="00426D01" w:rsidP="00005F3F">
            <w:pPr>
              <w:spacing w:after="0" w:line="240" w:lineRule="auto"/>
              <w:ind w:left="-108" w:right="-108"/>
              <w:jc w:val="center"/>
              <w:rPr>
                <w:rFonts w:eastAsia=".VnTime"/>
                <w:sz w:val="26"/>
                <w:szCs w:val="26"/>
              </w:rPr>
            </w:pPr>
            <w:r>
              <w:rPr>
                <w:rFonts w:eastAsia=".VnTime"/>
                <w:sz w:val="26"/>
                <w:szCs w:val="26"/>
              </w:rPr>
              <w:t>H</w:t>
            </w:r>
            <w:r w:rsidR="00005F3F" w:rsidRPr="00005F3F">
              <w:rPr>
                <w:rFonts w:eastAsia=".VnTime"/>
                <w:sz w:val="26"/>
                <w:szCs w:val="26"/>
              </w:rPr>
              <w:t>ỏng hệ thống thoát nước, bị tắc</w:t>
            </w:r>
          </w:p>
        </w:tc>
      </w:tr>
      <w:tr w:rsidR="00005F3F" w:rsidRPr="005E4478" w14:paraId="6B27100B" w14:textId="77777777" w:rsidTr="008B0B5D">
        <w:trPr>
          <w:trHeight w:val="469"/>
        </w:trPr>
        <w:tc>
          <w:tcPr>
            <w:tcW w:w="14402" w:type="dxa"/>
            <w:gridSpan w:val="6"/>
            <w:vAlign w:val="center"/>
          </w:tcPr>
          <w:p w14:paraId="55B06532" w14:textId="188D454A" w:rsidR="00005F3F" w:rsidRPr="005E4478" w:rsidRDefault="00005F3F" w:rsidP="00005F3F">
            <w:pPr>
              <w:spacing w:after="0" w:line="240" w:lineRule="auto"/>
              <w:ind w:left="-108" w:right="-108"/>
              <w:jc w:val="center"/>
              <w:rPr>
                <w:rFonts w:eastAsia=".VnTime"/>
                <w:sz w:val="26"/>
                <w:szCs w:val="26"/>
              </w:rPr>
            </w:pPr>
            <w:r w:rsidRPr="005E4478">
              <w:rPr>
                <w:szCs w:val="28"/>
                <w:lang w:val="pt-BR"/>
              </w:rPr>
              <w:t>TỔNG SỐ MỤC: 0</w:t>
            </w:r>
            <w:r w:rsidR="00426D01">
              <w:rPr>
                <w:szCs w:val="28"/>
                <w:lang w:val="pt-BR"/>
              </w:rPr>
              <w:t>3</w:t>
            </w:r>
          </w:p>
        </w:tc>
      </w:tr>
    </w:tbl>
    <w:p w14:paraId="28625C36" w14:textId="77777777" w:rsidR="00F625F3" w:rsidRDefault="00F625F3" w:rsidP="00F625F3">
      <w:pPr>
        <w:spacing w:before="120" w:after="0" w:line="240" w:lineRule="auto"/>
        <w:rPr>
          <w:b/>
          <w:iCs/>
          <w:szCs w:val="28"/>
          <w:lang w:val="en-SG"/>
        </w:rPr>
      </w:pPr>
    </w:p>
    <w:p w14:paraId="09B0DD6C" w14:textId="77777777" w:rsidR="00426D01" w:rsidRDefault="00426D01">
      <w:pPr>
        <w:spacing w:after="160" w:line="259" w:lineRule="auto"/>
        <w:rPr>
          <w:rFonts w:eastAsia="Times New Roman"/>
          <w:b/>
          <w:bCs/>
          <w:sz w:val="26"/>
          <w:szCs w:val="26"/>
          <w:lang w:val="en-SG" w:eastAsia="en-SG"/>
        </w:rPr>
      </w:pPr>
      <w:r>
        <w:rPr>
          <w:rFonts w:eastAsia="Times New Roman"/>
          <w:b/>
          <w:bCs/>
          <w:sz w:val="26"/>
          <w:szCs w:val="26"/>
          <w:lang w:val="en-SG" w:eastAsia="en-SG"/>
        </w:rPr>
        <w:br w:type="page"/>
      </w:r>
    </w:p>
    <w:p w14:paraId="1DEB203E" w14:textId="7EA7E2B3"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lastRenderedPageBreak/>
        <w:t>Mẫu báo giá</w:t>
      </w:r>
    </w:p>
    <w:p w14:paraId="6040B2E7" w14:textId="77777777"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Áp dụng đối với gói thầu cung cấp dịch vụ sửa chữa, bảo dưỡng,</w:t>
      </w:r>
      <w:r w:rsidRPr="000F12A9">
        <w:rPr>
          <w:rFonts w:eastAsia="Times New Roman"/>
          <w:sz w:val="26"/>
          <w:szCs w:val="26"/>
          <w:lang w:val="en-SG" w:eastAsia="en-SG"/>
        </w:rPr>
        <w:t> </w:t>
      </w:r>
      <w:r w:rsidRPr="000F12A9">
        <w:rPr>
          <w:rFonts w:eastAsia="Times New Roman"/>
          <w:b/>
          <w:bCs/>
          <w:sz w:val="26"/>
          <w:szCs w:val="26"/>
          <w:lang w:val="en-SG" w:eastAsia="en-SG"/>
        </w:rPr>
        <w:t>kiểm định, hiệu chuẩn trang thiết bị y tế</w:t>
      </w:r>
    </w:p>
    <w:p w14:paraId="2D1C3397" w14:textId="77777777"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BÁO GIÁ</w:t>
      </w:r>
      <w:r w:rsidRPr="000F12A9">
        <w:rPr>
          <w:rFonts w:eastAsia="Times New Roman"/>
          <w:b/>
          <w:bCs/>
          <w:sz w:val="26"/>
          <w:szCs w:val="26"/>
          <w:vertAlign w:val="superscript"/>
          <w:lang w:val="en-SG" w:eastAsia="en-SG"/>
        </w:rPr>
        <w:t>(1)</w:t>
      </w:r>
    </w:p>
    <w:p w14:paraId="2DF4025F" w14:textId="35159499" w:rsidR="003E779E" w:rsidRPr="000F12A9" w:rsidRDefault="003E779E" w:rsidP="003E779E">
      <w:pPr>
        <w:spacing w:after="0" w:line="240" w:lineRule="auto"/>
        <w:jc w:val="center"/>
        <w:rPr>
          <w:rFonts w:eastAsia="Times New Roman"/>
          <w:sz w:val="26"/>
          <w:szCs w:val="26"/>
          <w:lang w:val="en-SG" w:eastAsia="en-SG"/>
        </w:rPr>
      </w:pPr>
      <w:r w:rsidRPr="000F12A9">
        <w:rPr>
          <w:rFonts w:eastAsia="Times New Roman"/>
          <w:sz w:val="26"/>
          <w:szCs w:val="26"/>
          <w:lang w:val="en-SG" w:eastAsia="en-SG"/>
        </w:rPr>
        <w:t xml:space="preserve">Kính gửi: </w:t>
      </w:r>
      <w:r w:rsidR="005D464A" w:rsidRPr="000F12A9">
        <w:rPr>
          <w:rFonts w:eastAsia="Times New Roman"/>
          <w:sz w:val="26"/>
          <w:szCs w:val="26"/>
          <w:lang w:val="en-SG" w:eastAsia="en-SG"/>
        </w:rPr>
        <w:t>Trung tâm Kiểm soát bệnh tật tỉnh Bắc Giang</w:t>
      </w:r>
    </w:p>
    <w:p w14:paraId="050BBA2D" w14:textId="15409B8F" w:rsidR="003E779E" w:rsidRPr="000F12A9" w:rsidRDefault="003E779E" w:rsidP="005D464A">
      <w:pPr>
        <w:spacing w:after="0" w:line="240" w:lineRule="auto"/>
        <w:rPr>
          <w:rFonts w:eastAsia="Times New Roman"/>
          <w:sz w:val="26"/>
          <w:szCs w:val="26"/>
          <w:lang w:val="en-SG" w:eastAsia="en-SG"/>
        </w:rPr>
      </w:pPr>
      <w:r w:rsidRPr="000F12A9">
        <w:rPr>
          <w:rFonts w:eastAsia="Times New Roman"/>
          <w:sz w:val="26"/>
          <w:szCs w:val="26"/>
          <w:lang w:val="en-SG" w:eastAsia="en-SG"/>
        </w:rPr>
        <w:t>Trên cơ sở yêu cầu báo giá của</w:t>
      </w:r>
      <w:r w:rsidR="005D464A" w:rsidRPr="000F12A9">
        <w:rPr>
          <w:rFonts w:eastAsia="Times New Roman"/>
          <w:sz w:val="26"/>
          <w:szCs w:val="26"/>
          <w:lang w:val="en-SG" w:eastAsia="en-SG"/>
        </w:rPr>
        <w:t xml:space="preserve"> Trung tâm Kiểm soát bệnh tật tỉnh Bắc Giang</w:t>
      </w:r>
      <w:r w:rsidRPr="000F12A9">
        <w:rPr>
          <w:rFonts w:eastAsia="Times New Roman"/>
          <w:sz w:val="26"/>
          <w:szCs w:val="26"/>
          <w:lang w:val="en-SG" w:eastAsia="en-SG"/>
        </w:rPr>
        <w:t>, chúng tôi.....[ghi tên, địa chỉ của nhà cung cấp; trường hợp nhiều nhà cung cấp cùng tham gia trong một báo giá (gọi chung là liên danh) thì ghi rõ tên, địa chỉ của các thành viên liên danh] báo giá cung cấp dịch vụ sửa chữa, bảo dưỡng, kiểm định, hiệu chuẩn trang thiết bị y tế như sau:</w:t>
      </w:r>
    </w:p>
    <w:p w14:paraId="2DF204A6" w14:textId="77777777" w:rsidR="003E779E" w:rsidRPr="000F12A9" w:rsidRDefault="003E779E" w:rsidP="003E779E">
      <w:pPr>
        <w:spacing w:before="180" w:after="120" w:line="240" w:lineRule="auto"/>
        <w:jc w:val="both"/>
        <w:rPr>
          <w:rFonts w:eastAsia="Times New Roman"/>
          <w:sz w:val="26"/>
          <w:szCs w:val="26"/>
          <w:lang w:val="en-SG" w:eastAsia="en-SG"/>
        </w:rPr>
      </w:pPr>
      <w:r w:rsidRPr="000F12A9">
        <w:rPr>
          <w:rFonts w:eastAsia="Times New Roman"/>
          <w:sz w:val="26"/>
          <w:szCs w:val="26"/>
          <w:lang w:val="en-SG" w:eastAsia="en-SG"/>
        </w:rPr>
        <w:t>1. Báo giá cung cấp dịch vụ sửa chữa, bảo dưỡng, kiểm định, hiệu chuẩn trang thiết bị y tế.</w:t>
      </w:r>
    </w:p>
    <w:tbl>
      <w:tblPr>
        <w:tblW w:w="5000" w:type="pct"/>
        <w:jc w:val="center"/>
        <w:tblCellMar>
          <w:left w:w="0" w:type="dxa"/>
          <w:right w:w="0" w:type="dxa"/>
        </w:tblCellMar>
        <w:tblLook w:val="04A0" w:firstRow="1" w:lastRow="0" w:firstColumn="1" w:lastColumn="0" w:noHBand="0" w:noVBand="1"/>
      </w:tblPr>
      <w:tblGrid>
        <w:gridCol w:w="1313"/>
        <w:gridCol w:w="2290"/>
        <w:gridCol w:w="2907"/>
        <w:gridCol w:w="2463"/>
        <w:gridCol w:w="1751"/>
        <w:gridCol w:w="1127"/>
        <w:gridCol w:w="2741"/>
      </w:tblGrid>
      <w:tr w:rsidR="000F12A9" w:rsidRPr="000F12A9" w14:paraId="68B11E32"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center"/>
            <w:hideMark/>
          </w:tcPr>
          <w:p w14:paraId="38A925E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STT</w:t>
            </w:r>
          </w:p>
        </w:tc>
        <w:tc>
          <w:tcPr>
            <w:tcW w:w="1392" w:type="dxa"/>
            <w:tcBorders>
              <w:top w:val="single" w:sz="8" w:space="0" w:color="auto"/>
              <w:left w:val="single" w:sz="8" w:space="0" w:color="auto"/>
              <w:bottom w:val="nil"/>
              <w:right w:val="nil"/>
            </w:tcBorders>
            <w:shd w:val="clear" w:color="auto" w:fill="FFFFFF"/>
            <w:vAlign w:val="center"/>
            <w:hideMark/>
          </w:tcPr>
          <w:p w14:paraId="4C1FE15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Danh mục</w:t>
            </w:r>
            <w:r w:rsidRPr="000F12A9">
              <w:rPr>
                <w:rFonts w:eastAsia="Times New Roman"/>
                <w:sz w:val="26"/>
                <w:szCs w:val="26"/>
                <w:lang w:val="en-SG" w:eastAsia="en-SG"/>
              </w:rPr>
              <w:t> </w:t>
            </w:r>
            <w:r w:rsidRPr="000F12A9">
              <w:rPr>
                <w:rFonts w:eastAsia="Times New Roman"/>
                <w:b/>
                <w:bCs/>
                <w:sz w:val="26"/>
                <w:szCs w:val="26"/>
                <w:lang w:val="en-SG" w:eastAsia="en-SG"/>
              </w:rPr>
              <w:t> dịch vụ</w:t>
            </w:r>
          </w:p>
        </w:tc>
        <w:tc>
          <w:tcPr>
            <w:tcW w:w="1767" w:type="dxa"/>
            <w:tcBorders>
              <w:top w:val="single" w:sz="8" w:space="0" w:color="auto"/>
              <w:left w:val="single" w:sz="8" w:space="0" w:color="auto"/>
              <w:bottom w:val="nil"/>
              <w:right w:val="nil"/>
            </w:tcBorders>
            <w:shd w:val="clear" w:color="auto" w:fill="FFFFFF"/>
            <w:vAlign w:val="center"/>
            <w:hideMark/>
          </w:tcPr>
          <w:p w14:paraId="7E1498F3"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Mô tả dịch vụ</w:t>
            </w:r>
          </w:p>
        </w:tc>
        <w:tc>
          <w:tcPr>
            <w:tcW w:w="1497" w:type="dxa"/>
            <w:tcBorders>
              <w:top w:val="single" w:sz="8" w:space="0" w:color="auto"/>
              <w:left w:val="single" w:sz="8" w:space="0" w:color="auto"/>
              <w:bottom w:val="nil"/>
              <w:right w:val="nil"/>
            </w:tcBorders>
            <w:shd w:val="clear" w:color="auto" w:fill="FFFFFF"/>
            <w:vAlign w:val="center"/>
            <w:hideMark/>
          </w:tcPr>
          <w:p w14:paraId="773C9404"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Khối lượng mời thầu</w:t>
            </w:r>
          </w:p>
        </w:tc>
        <w:tc>
          <w:tcPr>
            <w:tcW w:w="1064" w:type="dxa"/>
            <w:tcBorders>
              <w:top w:val="single" w:sz="8" w:space="0" w:color="auto"/>
              <w:left w:val="single" w:sz="8" w:space="0" w:color="auto"/>
              <w:bottom w:val="nil"/>
              <w:right w:val="nil"/>
            </w:tcBorders>
            <w:shd w:val="clear" w:color="auto" w:fill="FFFFFF"/>
            <w:vAlign w:val="center"/>
            <w:hideMark/>
          </w:tcPr>
          <w:p w14:paraId="6A07537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Đơn vị tính</w:t>
            </w:r>
          </w:p>
        </w:tc>
        <w:tc>
          <w:tcPr>
            <w:tcW w:w="685" w:type="dxa"/>
            <w:tcBorders>
              <w:top w:val="single" w:sz="8" w:space="0" w:color="auto"/>
              <w:left w:val="single" w:sz="8" w:space="0" w:color="auto"/>
              <w:bottom w:val="nil"/>
              <w:right w:val="nil"/>
            </w:tcBorders>
            <w:shd w:val="clear" w:color="auto" w:fill="FFFFFF"/>
            <w:vAlign w:val="center"/>
            <w:hideMark/>
          </w:tcPr>
          <w:p w14:paraId="3619D95E"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Đơn giá</w:t>
            </w:r>
          </w:p>
        </w:tc>
        <w:tc>
          <w:tcPr>
            <w:tcW w:w="1666" w:type="dxa"/>
            <w:tcBorders>
              <w:top w:val="single" w:sz="8" w:space="0" w:color="auto"/>
              <w:left w:val="single" w:sz="8" w:space="0" w:color="auto"/>
              <w:bottom w:val="nil"/>
              <w:right w:val="single" w:sz="8" w:space="0" w:color="auto"/>
            </w:tcBorders>
            <w:shd w:val="clear" w:color="auto" w:fill="FFFFFF"/>
            <w:vAlign w:val="center"/>
            <w:hideMark/>
          </w:tcPr>
          <w:p w14:paraId="18B4BC8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Thành tiền</w:t>
            </w:r>
          </w:p>
        </w:tc>
      </w:tr>
      <w:tr w:rsidR="000F12A9" w:rsidRPr="000F12A9" w14:paraId="17F174CF"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6DE042DF"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1</w:t>
            </w:r>
          </w:p>
        </w:tc>
        <w:tc>
          <w:tcPr>
            <w:tcW w:w="1392" w:type="dxa"/>
            <w:tcBorders>
              <w:top w:val="single" w:sz="8" w:space="0" w:color="auto"/>
              <w:left w:val="single" w:sz="8" w:space="0" w:color="auto"/>
              <w:bottom w:val="nil"/>
              <w:right w:val="nil"/>
            </w:tcBorders>
            <w:shd w:val="clear" w:color="auto" w:fill="FFFFFF"/>
            <w:hideMark/>
          </w:tcPr>
          <w:p w14:paraId="4F7255A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704BDBA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293576AC"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03166D8B"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0E7524CC"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3F115B8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12747B37"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251ADB1A"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2</w:t>
            </w:r>
          </w:p>
        </w:tc>
        <w:tc>
          <w:tcPr>
            <w:tcW w:w="1392" w:type="dxa"/>
            <w:tcBorders>
              <w:top w:val="single" w:sz="8" w:space="0" w:color="auto"/>
              <w:left w:val="single" w:sz="8" w:space="0" w:color="auto"/>
              <w:bottom w:val="nil"/>
              <w:right w:val="nil"/>
            </w:tcBorders>
            <w:shd w:val="clear" w:color="auto" w:fill="FFFFFF"/>
            <w:hideMark/>
          </w:tcPr>
          <w:p w14:paraId="12544D3D"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4723DA0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456F1EB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52FA683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6B7BD02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07EC61E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1D41917C"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19A7AB7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w:t>
            </w:r>
          </w:p>
        </w:tc>
        <w:tc>
          <w:tcPr>
            <w:tcW w:w="1392" w:type="dxa"/>
            <w:tcBorders>
              <w:top w:val="single" w:sz="8" w:space="0" w:color="auto"/>
              <w:left w:val="single" w:sz="8" w:space="0" w:color="auto"/>
              <w:bottom w:val="nil"/>
              <w:right w:val="nil"/>
            </w:tcBorders>
            <w:shd w:val="clear" w:color="auto" w:fill="FFFFFF"/>
            <w:hideMark/>
          </w:tcPr>
          <w:p w14:paraId="506A072A"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0EA1B7AB"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6D0FD3B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13390C7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0E9FD8B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2549DA1F"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7B73CB9D" w14:textId="77777777" w:rsidTr="003E779E">
        <w:trPr>
          <w:trHeight w:val="15"/>
          <w:jc w:val="center"/>
        </w:trPr>
        <w:tc>
          <w:tcPr>
            <w:tcW w:w="7203"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Tổng cộng:</w:t>
            </w:r>
          </w:p>
        </w:tc>
        <w:tc>
          <w:tcPr>
            <w:tcW w:w="166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bl>
    <w:p w14:paraId="24573515" w14:textId="77777777" w:rsidR="003E779E" w:rsidRPr="000F12A9" w:rsidRDefault="003E779E" w:rsidP="003E779E">
      <w:pPr>
        <w:spacing w:after="0" w:line="240" w:lineRule="auto"/>
        <w:rPr>
          <w:rFonts w:eastAsia="Times New Roman"/>
          <w:sz w:val="26"/>
          <w:szCs w:val="26"/>
          <w:lang w:val="en-SG" w:eastAsia="en-SG"/>
        </w:rPr>
      </w:pPr>
      <w:r w:rsidRPr="000F12A9">
        <w:rPr>
          <w:rFonts w:eastAsia="Times New Roman"/>
          <w:sz w:val="26"/>
          <w:szCs w:val="26"/>
          <w:lang w:val="en-SG" w:eastAsia="en-SG"/>
        </w:rPr>
        <w:t> </w:t>
      </w:r>
    </w:p>
    <w:p w14:paraId="409C2199"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2. Báo giá này có hiệu lực trong vòng: .... ngày, kể từ ngày ... tháng ... năm ... </w:t>
      </w:r>
      <w:r w:rsidRPr="000F12A9">
        <w:rPr>
          <w:rFonts w:eastAsia="Times New Roman"/>
          <w:i/>
          <w:iCs/>
          <w:sz w:val="26"/>
          <w:szCs w:val="26"/>
          <w:lang w:val="en-SG" w:eastAsia="en-SG"/>
        </w:rPr>
        <w:t>[ghi cụ thể số ngày nhưng không nhỏ hơn 90 ngày],</w:t>
      </w:r>
      <w:r w:rsidRPr="000F12A9">
        <w:rPr>
          <w:rFonts w:eastAsia="Times New Roman"/>
          <w:sz w:val="26"/>
          <w:szCs w:val="26"/>
          <w:lang w:val="en-SG" w:eastAsia="en-SG"/>
        </w:rPr>
        <w:t> kể từ ngày ... tháng... năm...[ghi </w:t>
      </w:r>
      <w:r w:rsidRPr="000F12A9">
        <w:rPr>
          <w:rFonts w:eastAsia="Times New Roman"/>
          <w:i/>
          <w:iCs/>
          <w:sz w:val="26"/>
          <w:szCs w:val="26"/>
          <w:lang w:val="en-SG" w:eastAsia="en-SG"/>
        </w:rPr>
        <w:t>ngày ....tháng...năm... kết thúc nhận báo giá phù hợp với thông tin tại khoản 4 Mục I - Yêu cầu báo giá].</w:t>
      </w:r>
    </w:p>
    <w:p w14:paraId="40C1C28C"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t>3. Chúng tôi cam kết:</w:t>
      </w:r>
    </w:p>
    <w:p w14:paraId="64515823"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lastRenderedPageBreak/>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FAF2A68"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t>- Giá trị nêu trong báo giá là phù hợp, không vi phạm quy định của pháp luật về cạnh tranh, bán phá giá.</w:t>
      </w:r>
    </w:p>
    <w:p w14:paraId="27236794" w14:textId="77777777" w:rsidR="00811A4F" w:rsidRPr="000F12A9" w:rsidRDefault="003E779E" w:rsidP="00811A4F">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 Những thông tin nêu trong báo giá là trung thực. </w:t>
      </w:r>
    </w:p>
    <w:p w14:paraId="78699453" w14:textId="370A747B" w:rsidR="003E779E" w:rsidRPr="000F12A9" w:rsidRDefault="003E779E" w:rsidP="00811A4F">
      <w:pPr>
        <w:spacing w:before="180" w:after="120" w:line="240" w:lineRule="auto"/>
        <w:ind w:firstLine="720"/>
        <w:jc w:val="right"/>
        <w:rPr>
          <w:rFonts w:eastAsia="Times New Roman"/>
          <w:sz w:val="26"/>
          <w:szCs w:val="26"/>
          <w:lang w:val="en-SG" w:eastAsia="en-SG"/>
        </w:rPr>
      </w:pPr>
      <w:r w:rsidRPr="000F12A9">
        <w:rPr>
          <w:rFonts w:eastAsia="Times New Roman"/>
          <w:sz w:val="26"/>
          <w:szCs w:val="26"/>
          <w:lang w:val="en-SG" w:eastAsia="en-SG"/>
        </w:rPr>
        <w:t>            , ngày.... tháng....năm....</w:t>
      </w:r>
    </w:p>
    <w:p w14:paraId="056C32EF" w14:textId="388C9534" w:rsidR="003E779E" w:rsidRPr="000F12A9" w:rsidRDefault="005D464A"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 xml:space="preserve">                                                                                                                 </w:t>
      </w:r>
      <w:r w:rsidR="003E779E" w:rsidRPr="000F12A9">
        <w:rPr>
          <w:rFonts w:eastAsia="Times New Roman"/>
          <w:b/>
          <w:bCs/>
          <w:sz w:val="26"/>
          <w:szCs w:val="26"/>
          <w:lang w:val="en-SG" w:eastAsia="en-SG"/>
        </w:rPr>
        <w:t>Đại diện hợp pháp của nhà cung cấp</w:t>
      </w:r>
      <w:r w:rsidR="003E779E" w:rsidRPr="000F12A9">
        <w:rPr>
          <w:rFonts w:eastAsia="Times New Roman"/>
          <w:b/>
          <w:bCs/>
          <w:sz w:val="26"/>
          <w:szCs w:val="26"/>
          <w:vertAlign w:val="superscript"/>
          <w:lang w:val="en-SG" w:eastAsia="en-SG"/>
        </w:rPr>
        <w:t>(2)</w:t>
      </w:r>
    </w:p>
    <w:p w14:paraId="22EABB31" w14:textId="27D2D864" w:rsidR="003E779E" w:rsidRPr="000F12A9" w:rsidRDefault="005D464A" w:rsidP="003E779E">
      <w:pPr>
        <w:spacing w:before="180" w:after="180" w:line="240" w:lineRule="auto"/>
        <w:jc w:val="center"/>
        <w:rPr>
          <w:rFonts w:eastAsia="Times New Roman"/>
          <w:sz w:val="26"/>
          <w:szCs w:val="26"/>
          <w:lang w:val="en-SG" w:eastAsia="en-SG"/>
        </w:rPr>
      </w:pPr>
      <w:r w:rsidRPr="000F12A9">
        <w:rPr>
          <w:rFonts w:eastAsia="Times New Roman"/>
          <w:sz w:val="26"/>
          <w:szCs w:val="26"/>
          <w:lang w:val="en-SG" w:eastAsia="en-SG"/>
        </w:rPr>
        <w:t xml:space="preserve">                                                                                                              </w:t>
      </w:r>
      <w:r w:rsidR="003E779E" w:rsidRPr="000F12A9">
        <w:rPr>
          <w:rFonts w:eastAsia="Times New Roman"/>
          <w:sz w:val="26"/>
          <w:szCs w:val="26"/>
          <w:lang w:val="en-SG" w:eastAsia="en-SG"/>
        </w:rPr>
        <w:t>(Ký tên, đóng dấu (nếu có))</w:t>
      </w:r>
    </w:p>
    <w:p w14:paraId="26886587" w14:textId="21578A5E" w:rsidR="003E779E" w:rsidRPr="000F12A9" w:rsidRDefault="003E779E" w:rsidP="00811A4F">
      <w:pPr>
        <w:spacing w:before="180" w:after="180" w:line="240" w:lineRule="auto"/>
        <w:rPr>
          <w:rFonts w:eastAsia="Times New Roman"/>
          <w:sz w:val="26"/>
          <w:szCs w:val="26"/>
          <w:lang w:val="en-SG" w:eastAsia="en-SG"/>
        </w:rPr>
      </w:pPr>
      <w:r w:rsidRPr="000F12A9">
        <w:rPr>
          <w:rFonts w:eastAsia="Times New Roman"/>
          <w:sz w:val="26"/>
          <w:szCs w:val="26"/>
          <w:lang w:val="en-SG" w:eastAsia="en-SG"/>
        </w:rPr>
        <w:t> Ghi chú:</w:t>
      </w:r>
    </w:p>
    <w:p w14:paraId="59ABADFB"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(1) Nhà cung cấp điền đầy đủ các thông tin để báo giá theo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theo yêu cầu tại ghi chú 12.</w:t>
      </w:r>
    </w:p>
    <w:p w14:paraId="2A3E4A08"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BE38B63" w14:textId="2AF51A87" w:rsidR="00406419" w:rsidRPr="000F12A9" w:rsidRDefault="003E779E" w:rsidP="00811A4F">
      <w:pPr>
        <w:spacing w:before="180" w:after="120" w:line="240" w:lineRule="auto"/>
        <w:ind w:firstLine="720"/>
        <w:jc w:val="both"/>
        <w:rPr>
          <w:b/>
          <w:bCs/>
          <w:sz w:val="26"/>
          <w:szCs w:val="26"/>
        </w:rPr>
      </w:pPr>
      <w:r w:rsidRPr="000F12A9">
        <w:rPr>
          <w:rFonts w:eastAsia="Times New Roman"/>
          <w:sz w:val="26"/>
          <w:szCs w:val="26"/>
          <w:lang w:val="en-SG" w:eastAsia="en-SG"/>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thông.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3310699" w14:textId="752E0B69" w:rsidR="00A9001A" w:rsidRPr="000F12A9" w:rsidRDefault="00A9001A" w:rsidP="00027C8C">
      <w:pPr>
        <w:spacing w:after="0" w:line="240" w:lineRule="auto"/>
        <w:rPr>
          <w:bCs/>
          <w:iCs/>
          <w:sz w:val="26"/>
          <w:szCs w:val="26"/>
          <w:lang w:val="en-SG"/>
        </w:rPr>
      </w:pPr>
      <w:r w:rsidRPr="000F12A9">
        <w:rPr>
          <w:bCs/>
          <w:iCs/>
          <w:sz w:val="26"/>
          <w:szCs w:val="26"/>
          <w:lang w:val="en-SG"/>
        </w:rPr>
        <w:t>6. Cam kết của nhà thầu: Thông tin báo giá trung thực. Nhà thầu không đang trong quá trình mất khả năng thanh toán theo quy định pháp luật.</w:t>
      </w:r>
      <w:r w:rsidR="00590B51" w:rsidRPr="000F12A9">
        <w:rPr>
          <w:bCs/>
          <w:iCs/>
          <w:sz w:val="26"/>
          <w:szCs w:val="26"/>
          <w:lang w:val="en-SG"/>
        </w:rPr>
        <w:t xml:space="preserve"> </w:t>
      </w:r>
      <w:r w:rsidRPr="000F12A9">
        <w:rPr>
          <w:bCs/>
          <w:iCs/>
          <w:sz w:val="26"/>
          <w:szCs w:val="26"/>
          <w:lang w:val="en-SG"/>
        </w:rPr>
        <w:t>giá trị của thiết bị nêu trong báo giá là phù hợp, không vi phạm pháp luật về cạnh tranh, bán phá giá.</w:t>
      </w:r>
    </w:p>
    <w:p w14:paraId="35F13879" w14:textId="77777777" w:rsidR="00406419" w:rsidRPr="000F12A9" w:rsidRDefault="00406419">
      <w:pPr>
        <w:spacing w:after="160" w:line="259" w:lineRule="auto"/>
        <w:rPr>
          <w:b/>
          <w:bCs/>
          <w:sz w:val="26"/>
          <w:szCs w:val="26"/>
        </w:rPr>
      </w:pPr>
    </w:p>
    <w:sectPr w:rsidR="00406419" w:rsidRPr="000F12A9" w:rsidSect="005D464A">
      <w:pgSz w:w="16840" w:h="11907" w:orient="landscape" w:code="9"/>
      <w:pgMar w:top="1134" w:right="1134" w:bottom="1701"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280263">
    <w:abstractNumId w:val="10"/>
  </w:num>
  <w:num w:numId="2" w16cid:durableId="1195267595">
    <w:abstractNumId w:val="4"/>
  </w:num>
  <w:num w:numId="3" w16cid:durableId="412968240">
    <w:abstractNumId w:val="3"/>
  </w:num>
  <w:num w:numId="4" w16cid:durableId="931476225">
    <w:abstractNumId w:val="8"/>
  </w:num>
  <w:num w:numId="5" w16cid:durableId="1644189437">
    <w:abstractNumId w:val="2"/>
  </w:num>
  <w:num w:numId="6" w16cid:durableId="812218572">
    <w:abstractNumId w:val="7"/>
  </w:num>
  <w:num w:numId="7" w16cid:durableId="1536850109">
    <w:abstractNumId w:val="5"/>
  </w:num>
  <w:num w:numId="8" w16cid:durableId="1096364245">
    <w:abstractNumId w:val="6"/>
  </w:num>
  <w:num w:numId="9" w16cid:durableId="1764377978">
    <w:abstractNumId w:val="0"/>
  </w:num>
  <w:num w:numId="10" w16cid:durableId="1633825473">
    <w:abstractNumId w:val="1"/>
  </w:num>
  <w:num w:numId="11" w16cid:durableId="341903214">
    <w:abstractNumId w:val="9"/>
  </w:num>
  <w:num w:numId="12" w16cid:durableId="1293945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4FF"/>
    <w:rsid w:val="00005F3F"/>
    <w:rsid w:val="00015168"/>
    <w:rsid w:val="00027C8C"/>
    <w:rsid w:val="00040017"/>
    <w:rsid w:val="0004260F"/>
    <w:rsid w:val="00052082"/>
    <w:rsid w:val="000744FF"/>
    <w:rsid w:val="000E25C6"/>
    <w:rsid w:val="000F12A9"/>
    <w:rsid w:val="00150706"/>
    <w:rsid w:val="001917C7"/>
    <w:rsid w:val="00207CEB"/>
    <w:rsid w:val="00234469"/>
    <w:rsid w:val="002767E8"/>
    <w:rsid w:val="00286A40"/>
    <w:rsid w:val="002F3FF0"/>
    <w:rsid w:val="00320D0A"/>
    <w:rsid w:val="003443E5"/>
    <w:rsid w:val="0034448A"/>
    <w:rsid w:val="003C433F"/>
    <w:rsid w:val="003D5668"/>
    <w:rsid w:val="003E779E"/>
    <w:rsid w:val="00406419"/>
    <w:rsid w:val="00426D01"/>
    <w:rsid w:val="00475D5A"/>
    <w:rsid w:val="004B4DA7"/>
    <w:rsid w:val="004D5EFD"/>
    <w:rsid w:val="005079AF"/>
    <w:rsid w:val="00521A26"/>
    <w:rsid w:val="00590B51"/>
    <w:rsid w:val="005D0C97"/>
    <w:rsid w:val="005D464A"/>
    <w:rsid w:val="006005BB"/>
    <w:rsid w:val="006D301E"/>
    <w:rsid w:val="007C2395"/>
    <w:rsid w:val="007D1B1A"/>
    <w:rsid w:val="007F7852"/>
    <w:rsid w:val="00811A4F"/>
    <w:rsid w:val="008515FF"/>
    <w:rsid w:val="00893EE5"/>
    <w:rsid w:val="008B0B5D"/>
    <w:rsid w:val="00963FC5"/>
    <w:rsid w:val="009F2790"/>
    <w:rsid w:val="00A25C12"/>
    <w:rsid w:val="00A26E9D"/>
    <w:rsid w:val="00A2771B"/>
    <w:rsid w:val="00A667E8"/>
    <w:rsid w:val="00A9001A"/>
    <w:rsid w:val="00AD7A7C"/>
    <w:rsid w:val="00B45C6F"/>
    <w:rsid w:val="00B630F5"/>
    <w:rsid w:val="00B809A1"/>
    <w:rsid w:val="00B83EAA"/>
    <w:rsid w:val="00BA0E5B"/>
    <w:rsid w:val="00C06E2B"/>
    <w:rsid w:val="00C337BD"/>
    <w:rsid w:val="00D27B8D"/>
    <w:rsid w:val="00D457A0"/>
    <w:rsid w:val="00D54F03"/>
    <w:rsid w:val="00DB5A5E"/>
    <w:rsid w:val="00DE46BB"/>
    <w:rsid w:val="00DE5EBA"/>
    <w:rsid w:val="00E167F1"/>
    <w:rsid w:val="00E23223"/>
    <w:rsid w:val="00E6770F"/>
    <w:rsid w:val="00EA6C8F"/>
    <w:rsid w:val="00EE1CAC"/>
    <w:rsid w:val="00F625F3"/>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15:docId w15:val="{85785694-FB98-493B-8B77-7F97292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2023-07-13T00:49:00Z</dcterms:created>
  <dcterms:modified xsi:type="dcterms:W3CDTF">2023-11-08T01:46:00Z</dcterms:modified>
</cp:coreProperties>
</file>